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3140"/>
        <w:gridCol w:w="10828"/>
      </w:tblGrid>
      <w:tr w:rsidR="001A126B" w:rsidRPr="00290F46" w:rsidTr="001A126B">
        <w:trPr>
          <w:trHeight w:val="466"/>
        </w:trPr>
        <w:tc>
          <w:tcPr>
            <w:tcW w:w="3140" w:type="dxa"/>
            <w:shd w:val="clear" w:color="auto" w:fill="C6D9F1"/>
          </w:tcPr>
          <w:p w:rsidR="001A126B" w:rsidRPr="009A0470" w:rsidRDefault="001A126B" w:rsidP="00284461">
            <w:pPr>
              <w:spacing w:before="60"/>
              <w:rPr>
                <w:rFonts w:ascii="Calibri" w:hAnsi="Calibri"/>
                <w:sz w:val="19"/>
                <w:szCs w:val="19"/>
              </w:rPr>
            </w:pPr>
            <w:r w:rsidRPr="009A0470">
              <w:rPr>
                <w:rFonts w:ascii="Calibri" w:hAnsi="Calibri"/>
                <w:sz w:val="19"/>
                <w:szCs w:val="19"/>
              </w:rPr>
              <w:t>Naam aanbod</w:t>
            </w:r>
            <w:r>
              <w:rPr>
                <w:rFonts w:ascii="Calibri" w:hAnsi="Calibri"/>
                <w:sz w:val="19"/>
                <w:szCs w:val="19"/>
              </w:rPr>
              <w:t>:</w:t>
            </w:r>
          </w:p>
        </w:tc>
        <w:tc>
          <w:tcPr>
            <w:tcW w:w="10828" w:type="dxa"/>
            <w:shd w:val="clear" w:color="auto" w:fill="DBE5F1"/>
          </w:tcPr>
          <w:p w:rsidR="001A126B" w:rsidRDefault="001A126B" w:rsidP="00284461">
            <w:pPr>
              <w:spacing w:before="60" w:after="60"/>
              <w:rPr>
                <w:rFonts w:ascii="Calibri" w:hAnsi="Calibri"/>
                <w:sz w:val="16"/>
                <w:szCs w:val="16"/>
              </w:rPr>
            </w:pPr>
            <w:r>
              <w:rPr>
                <w:noProof/>
              </w:rPr>
              <w:drawing>
                <wp:anchor distT="0" distB="0" distL="114300" distR="114300" simplePos="0" relativeHeight="251658240" behindDoc="1" locked="0" layoutInCell="1" allowOverlap="1" wp14:anchorId="32627F81" wp14:editId="07C249EA">
                  <wp:simplePos x="0" y="0"/>
                  <wp:positionH relativeFrom="column">
                    <wp:posOffset>1493861</wp:posOffset>
                  </wp:positionH>
                  <wp:positionV relativeFrom="paragraph">
                    <wp:posOffset>-839470</wp:posOffset>
                  </wp:positionV>
                  <wp:extent cx="2602677" cy="709684"/>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Martini Academie Onderwijs Opleiding Onderzo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677" cy="70968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16"/>
                <w:szCs w:val="16"/>
              </w:rPr>
              <w:t>Mini-symposium “de kracht van verbinden”</w:t>
            </w:r>
          </w:p>
          <w:p w:rsidR="001A126B" w:rsidRPr="00290F46" w:rsidRDefault="001A126B" w:rsidP="00284461">
            <w:pPr>
              <w:spacing w:before="60" w:after="60"/>
              <w:rPr>
                <w:rFonts w:ascii="Calibri" w:hAnsi="Calibri"/>
                <w:sz w:val="16"/>
                <w:szCs w:val="16"/>
              </w:rPr>
            </w:pPr>
            <w:r>
              <w:rPr>
                <w:rFonts w:ascii="Calibri" w:hAnsi="Calibri"/>
                <w:sz w:val="16"/>
                <w:szCs w:val="16"/>
              </w:rPr>
              <w:t xml:space="preserve">Ketenzorg in het </w:t>
            </w:r>
            <w:r w:rsidRPr="003D2B04">
              <w:rPr>
                <w:rFonts w:ascii="Calibri" w:hAnsi="Calibri"/>
                <w:sz w:val="16"/>
                <w:szCs w:val="16"/>
              </w:rPr>
              <w:t>Martini Ziekenhuis</w:t>
            </w:r>
          </w:p>
        </w:tc>
      </w:tr>
      <w:tr w:rsidR="001A126B" w:rsidRPr="001A126B" w:rsidTr="001A126B">
        <w:trPr>
          <w:trHeight w:val="466"/>
        </w:trPr>
        <w:tc>
          <w:tcPr>
            <w:tcW w:w="3140" w:type="dxa"/>
            <w:tcBorders>
              <w:top w:val="single" w:sz="6" w:space="0" w:color="FFFFFF"/>
              <w:left w:val="single" w:sz="18" w:space="0" w:color="FFFFFF"/>
              <w:bottom w:val="single" w:sz="6" w:space="0" w:color="FFFFFF"/>
              <w:right w:val="single" w:sz="6" w:space="0" w:color="FFFFFF"/>
            </w:tcBorders>
            <w:shd w:val="clear" w:color="auto" w:fill="C6D9F1"/>
          </w:tcPr>
          <w:p w:rsidR="001A126B" w:rsidRPr="001A126B" w:rsidRDefault="001A126B" w:rsidP="00284461">
            <w:pPr>
              <w:spacing w:before="60"/>
              <w:rPr>
                <w:rFonts w:asciiTheme="minorHAnsi" w:hAnsiTheme="minorHAnsi"/>
                <w:sz w:val="16"/>
                <w:szCs w:val="16"/>
              </w:rPr>
            </w:pPr>
            <w:r w:rsidRPr="001A126B">
              <w:rPr>
                <w:rFonts w:asciiTheme="minorHAnsi" w:hAnsiTheme="minorHAnsi"/>
                <w:sz w:val="16"/>
                <w:szCs w:val="16"/>
              </w:rPr>
              <w:t>Inleiding</w:t>
            </w:r>
          </w:p>
        </w:tc>
        <w:tc>
          <w:tcPr>
            <w:tcW w:w="10828" w:type="dxa"/>
            <w:tcBorders>
              <w:top w:val="single" w:sz="6" w:space="0" w:color="FFFFFF"/>
              <w:left w:val="single" w:sz="6" w:space="0" w:color="FFFFFF"/>
              <w:bottom w:val="single" w:sz="6" w:space="0" w:color="FFFFFF"/>
              <w:right w:val="single" w:sz="18" w:space="0" w:color="FFFFFF"/>
            </w:tcBorders>
            <w:shd w:val="clear" w:color="auto" w:fill="DBE5F1"/>
          </w:tcPr>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In dit symposium “De kracht van verbinden” wordt het samenwerken in de ketenzorg rondom patiënten met diabetes, COPD en atriumfibrilleren besproken. Hoe ga je nu om met deze patiëntencategorieën? Naast de lichamelijke klachten, speelt ook de psychische impact een grote rol bij een chronische aandoening. Hoe maak je dit bespreekbaar en hoe behandel je dit?</w:t>
            </w:r>
          </w:p>
        </w:tc>
      </w:tr>
      <w:tr w:rsidR="001A126B" w:rsidRPr="001A126B" w:rsidTr="001A126B">
        <w:trPr>
          <w:trHeight w:val="466"/>
        </w:trPr>
        <w:tc>
          <w:tcPr>
            <w:tcW w:w="3140" w:type="dxa"/>
            <w:tcBorders>
              <w:top w:val="single" w:sz="6" w:space="0" w:color="FFFFFF"/>
              <w:left w:val="single" w:sz="18" w:space="0" w:color="FFFFFF"/>
              <w:bottom w:val="single" w:sz="6" w:space="0" w:color="FFFFFF"/>
              <w:right w:val="single" w:sz="6" w:space="0" w:color="FFFFFF"/>
            </w:tcBorders>
            <w:shd w:val="clear" w:color="auto" w:fill="C6D9F1"/>
          </w:tcPr>
          <w:p w:rsidR="001A126B" w:rsidRPr="001A126B" w:rsidRDefault="001A126B" w:rsidP="00284461">
            <w:pPr>
              <w:spacing w:before="60"/>
              <w:rPr>
                <w:rFonts w:asciiTheme="minorHAnsi" w:hAnsiTheme="minorHAnsi"/>
                <w:sz w:val="16"/>
                <w:szCs w:val="16"/>
              </w:rPr>
            </w:pPr>
            <w:r w:rsidRPr="001A126B">
              <w:rPr>
                <w:rFonts w:asciiTheme="minorHAnsi" w:hAnsiTheme="minorHAnsi"/>
                <w:sz w:val="16"/>
                <w:szCs w:val="16"/>
              </w:rPr>
              <w:t>Doelstelling:</w:t>
            </w:r>
          </w:p>
          <w:p w:rsidR="001A126B" w:rsidRPr="001A126B" w:rsidRDefault="001A126B" w:rsidP="001A126B">
            <w:pPr>
              <w:numPr>
                <w:ilvl w:val="0"/>
                <w:numId w:val="1"/>
              </w:numPr>
              <w:spacing w:before="60"/>
              <w:rPr>
                <w:rFonts w:asciiTheme="minorHAnsi" w:hAnsiTheme="minorHAnsi"/>
                <w:sz w:val="16"/>
                <w:szCs w:val="16"/>
              </w:rPr>
            </w:pPr>
            <w:r w:rsidRPr="001A126B">
              <w:rPr>
                <w:rFonts w:asciiTheme="minorHAnsi" w:hAnsiTheme="minorHAnsi"/>
                <w:sz w:val="16"/>
                <w:szCs w:val="16"/>
              </w:rPr>
              <w:t>Leerdoel</w:t>
            </w:r>
          </w:p>
          <w:p w:rsidR="001A126B" w:rsidRPr="001A126B" w:rsidRDefault="001A126B" w:rsidP="001A126B">
            <w:pPr>
              <w:numPr>
                <w:ilvl w:val="0"/>
                <w:numId w:val="1"/>
              </w:numPr>
              <w:spacing w:before="60"/>
              <w:rPr>
                <w:rFonts w:asciiTheme="minorHAnsi" w:hAnsiTheme="minorHAnsi"/>
                <w:sz w:val="16"/>
                <w:szCs w:val="16"/>
              </w:rPr>
            </w:pPr>
            <w:r w:rsidRPr="001A126B">
              <w:rPr>
                <w:rFonts w:asciiTheme="minorHAnsi" w:hAnsiTheme="minorHAnsi"/>
                <w:sz w:val="16"/>
                <w:szCs w:val="16"/>
              </w:rPr>
              <w:t>Werkdoel</w:t>
            </w:r>
          </w:p>
        </w:tc>
        <w:tc>
          <w:tcPr>
            <w:tcW w:w="10828" w:type="dxa"/>
            <w:tcBorders>
              <w:top w:val="single" w:sz="6" w:space="0" w:color="FFFFFF"/>
              <w:left w:val="single" w:sz="6" w:space="0" w:color="FFFFFF"/>
              <w:bottom w:val="single" w:sz="6" w:space="0" w:color="FFFFFF"/>
              <w:right w:val="single" w:sz="18" w:space="0" w:color="FFFFFF"/>
            </w:tcBorders>
            <w:shd w:val="clear" w:color="auto" w:fill="DBE5F1"/>
          </w:tcPr>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De deelnemer kan na dit symposium:</w:t>
            </w:r>
          </w:p>
          <w:p w:rsidR="001A126B" w:rsidRPr="001A126B" w:rsidRDefault="001A126B" w:rsidP="001A126B">
            <w:pPr>
              <w:pStyle w:val="Lijstalinea"/>
              <w:numPr>
                <w:ilvl w:val="0"/>
                <w:numId w:val="2"/>
              </w:numPr>
              <w:spacing w:line="288" w:lineRule="auto"/>
              <w:rPr>
                <w:rFonts w:asciiTheme="minorHAnsi" w:hAnsiTheme="minorHAnsi"/>
                <w:noProof/>
                <w:sz w:val="16"/>
                <w:szCs w:val="16"/>
              </w:rPr>
            </w:pPr>
            <w:r w:rsidRPr="001A126B">
              <w:rPr>
                <w:rFonts w:asciiTheme="minorHAnsi" w:hAnsiTheme="minorHAnsi"/>
                <w:noProof/>
                <w:sz w:val="16"/>
                <w:szCs w:val="16"/>
              </w:rPr>
              <w:t>benoemen welke behandelmogelijkheden er zijn bij een patiënt met een chronische aandoening</w:t>
            </w:r>
          </w:p>
          <w:p w:rsidR="001A126B" w:rsidRPr="001A126B" w:rsidRDefault="001A126B" w:rsidP="001A126B">
            <w:pPr>
              <w:pStyle w:val="Lijstalinea"/>
              <w:numPr>
                <w:ilvl w:val="0"/>
                <w:numId w:val="2"/>
              </w:numPr>
              <w:spacing w:line="288" w:lineRule="auto"/>
              <w:rPr>
                <w:rFonts w:asciiTheme="minorHAnsi" w:hAnsiTheme="minorHAnsi"/>
                <w:noProof/>
                <w:sz w:val="16"/>
                <w:szCs w:val="16"/>
              </w:rPr>
            </w:pPr>
            <w:r w:rsidRPr="001A126B">
              <w:rPr>
                <w:rFonts w:asciiTheme="minorHAnsi" w:hAnsiTheme="minorHAnsi"/>
                <w:noProof/>
                <w:sz w:val="16"/>
                <w:szCs w:val="16"/>
              </w:rPr>
              <w:t>benoemen hoe het behandeltraject verloopt van de patiënt met een chronische aandoening in zijn/haar eigen praktijk</w:t>
            </w:r>
          </w:p>
          <w:p w:rsidR="001A126B" w:rsidRPr="001A126B" w:rsidRDefault="001A126B" w:rsidP="001A126B">
            <w:pPr>
              <w:pStyle w:val="Lijstalinea"/>
              <w:numPr>
                <w:ilvl w:val="0"/>
                <w:numId w:val="2"/>
              </w:numPr>
              <w:spacing w:line="288" w:lineRule="auto"/>
              <w:rPr>
                <w:rFonts w:asciiTheme="minorHAnsi" w:hAnsiTheme="minorHAnsi"/>
                <w:noProof/>
                <w:sz w:val="16"/>
                <w:szCs w:val="16"/>
              </w:rPr>
            </w:pPr>
            <w:r w:rsidRPr="001A126B">
              <w:rPr>
                <w:rFonts w:asciiTheme="minorHAnsi" w:hAnsiTheme="minorHAnsi"/>
                <w:noProof/>
                <w:sz w:val="16"/>
                <w:szCs w:val="16"/>
              </w:rPr>
              <w:t>benoemen wat de verwijs- en terugverwijscriteria zijn voor de patiënt met een chronische aandoening in de ketenzorg</w:t>
            </w:r>
          </w:p>
          <w:p w:rsidR="001A126B" w:rsidRPr="001A126B" w:rsidRDefault="001A126B" w:rsidP="001A126B">
            <w:pPr>
              <w:pStyle w:val="Lijstalinea"/>
              <w:numPr>
                <w:ilvl w:val="0"/>
                <w:numId w:val="2"/>
              </w:numPr>
              <w:spacing w:line="288" w:lineRule="auto"/>
              <w:rPr>
                <w:rFonts w:asciiTheme="minorHAnsi" w:hAnsiTheme="minorHAnsi"/>
                <w:noProof/>
                <w:sz w:val="16"/>
                <w:szCs w:val="16"/>
              </w:rPr>
            </w:pPr>
            <w:r w:rsidRPr="001A126B">
              <w:rPr>
                <w:rFonts w:asciiTheme="minorHAnsi" w:hAnsiTheme="minorHAnsi"/>
                <w:noProof/>
                <w:sz w:val="16"/>
                <w:szCs w:val="16"/>
              </w:rPr>
              <w:t>beschrijven wat de mogelijkheden zijn van (tele) consultatie met collega’s in de ketenzorg en deze toepassen in zijn/haar dagelijkse praktijk</w:t>
            </w:r>
          </w:p>
          <w:p w:rsidR="001A126B" w:rsidRPr="001A126B" w:rsidRDefault="001A126B" w:rsidP="001A126B">
            <w:pPr>
              <w:pStyle w:val="Lijstalinea"/>
              <w:numPr>
                <w:ilvl w:val="0"/>
                <w:numId w:val="2"/>
              </w:numPr>
              <w:spacing w:line="220" w:lineRule="exact"/>
              <w:rPr>
                <w:rFonts w:asciiTheme="minorHAnsi" w:hAnsiTheme="minorHAnsi"/>
                <w:noProof/>
                <w:sz w:val="16"/>
                <w:szCs w:val="16"/>
              </w:rPr>
            </w:pPr>
            <w:r w:rsidRPr="001A126B">
              <w:rPr>
                <w:rFonts w:asciiTheme="minorHAnsi" w:hAnsiTheme="minorHAnsi"/>
                <w:noProof/>
                <w:sz w:val="16"/>
                <w:szCs w:val="16"/>
              </w:rPr>
              <w:t>verwoorden hoe de samenwerking in de zorgketen geoptimaliseerd kan worden</w:t>
            </w:r>
          </w:p>
          <w:p w:rsidR="001A126B" w:rsidRPr="001A126B" w:rsidRDefault="001A126B" w:rsidP="001A126B">
            <w:pPr>
              <w:spacing w:before="60" w:after="60"/>
              <w:rPr>
                <w:rFonts w:asciiTheme="minorHAnsi" w:hAnsiTheme="minorHAnsi"/>
                <w:noProof/>
                <w:sz w:val="16"/>
                <w:szCs w:val="16"/>
              </w:rPr>
            </w:pPr>
          </w:p>
        </w:tc>
      </w:tr>
      <w:tr w:rsidR="001A126B" w:rsidRPr="001A126B" w:rsidTr="001A126B">
        <w:trPr>
          <w:trHeight w:val="466"/>
        </w:trPr>
        <w:tc>
          <w:tcPr>
            <w:tcW w:w="3140" w:type="dxa"/>
            <w:tcBorders>
              <w:top w:val="single" w:sz="6" w:space="0" w:color="FFFFFF"/>
              <w:left w:val="single" w:sz="18" w:space="0" w:color="FFFFFF"/>
              <w:bottom w:val="single" w:sz="6" w:space="0" w:color="FFFFFF"/>
              <w:right w:val="single" w:sz="6" w:space="0" w:color="FFFFFF"/>
            </w:tcBorders>
            <w:shd w:val="clear" w:color="auto" w:fill="C6D9F1"/>
          </w:tcPr>
          <w:p w:rsidR="001A126B" w:rsidRPr="001A126B" w:rsidRDefault="001A126B" w:rsidP="001A126B">
            <w:pPr>
              <w:spacing w:before="60"/>
              <w:rPr>
                <w:rFonts w:asciiTheme="minorHAnsi" w:hAnsiTheme="minorHAnsi"/>
                <w:sz w:val="16"/>
                <w:szCs w:val="16"/>
              </w:rPr>
            </w:pPr>
            <w:r w:rsidRPr="001A126B">
              <w:rPr>
                <w:rFonts w:asciiTheme="minorHAnsi" w:hAnsiTheme="minorHAnsi"/>
                <w:sz w:val="16"/>
                <w:szCs w:val="16"/>
              </w:rPr>
              <w:t xml:space="preserve">Doelgroep:                        </w:t>
            </w:r>
          </w:p>
        </w:tc>
        <w:tc>
          <w:tcPr>
            <w:tcW w:w="10828" w:type="dxa"/>
            <w:tcBorders>
              <w:top w:val="single" w:sz="6" w:space="0" w:color="FFFFFF"/>
              <w:left w:val="single" w:sz="6" w:space="0" w:color="FFFFFF"/>
              <w:bottom w:val="single" w:sz="6" w:space="0" w:color="FFFFFF"/>
              <w:right w:val="single" w:sz="18" w:space="0" w:color="FFFFFF"/>
            </w:tcBorders>
            <w:shd w:val="clear" w:color="auto" w:fill="DBE5F1"/>
          </w:tcPr>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X Praktijkondersteuners                </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X Doktersassistenten</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X Praktijkverpleegkundigen                       </w:t>
            </w:r>
          </w:p>
        </w:tc>
      </w:tr>
      <w:tr w:rsidR="001A126B" w:rsidRPr="001A126B" w:rsidTr="001A126B">
        <w:trPr>
          <w:trHeight w:val="466"/>
        </w:trPr>
        <w:tc>
          <w:tcPr>
            <w:tcW w:w="3140" w:type="dxa"/>
            <w:tcBorders>
              <w:top w:val="single" w:sz="6" w:space="0" w:color="FFFFFF"/>
              <w:left w:val="single" w:sz="18" w:space="0" w:color="FFFFFF"/>
              <w:bottom w:val="single" w:sz="6" w:space="0" w:color="FFFFFF"/>
              <w:right w:val="single" w:sz="6" w:space="0" w:color="FFFFFF"/>
            </w:tcBorders>
            <w:shd w:val="clear" w:color="auto" w:fill="C6D9F1"/>
          </w:tcPr>
          <w:p w:rsidR="001A126B" w:rsidRPr="001A126B" w:rsidRDefault="001A126B" w:rsidP="00284461">
            <w:pPr>
              <w:spacing w:before="60"/>
              <w:rPr>
                <w:rFonts w:asciiTheme="minorHAnsi" w:hAnsiTheme="minorHAnsi"/>
                <w:sz w:val="16"/>
                <w:szCs w:val="16"/>
              </w:rPr>
            </w:pPr>
            <w:r w:rsidRPr="001A126B">
              <w:rPr>
                <w:rFonts w:asciiTheme="minorHAnsi" w:hAnsiTheme="minorHAnsi"/>
                <w:sz w:val="16"/>
                <w:szCs w:val="16"/>
              </w:rPr>
              <w:t>Programma:</w:t>
            </w:r>
          </w:p>
        </w:tc>
        <w:tc>
          <w:tcPr>
            <w:tcW w:w="10828" w:type="dxa"/>
            <w:tcBorders>
              <w:top w:val="single" w:sz="6" w:space="0" w:color="FFFFFF"/>
              <w:left w:val="single" w:sz="6" w:space="0" w:color="FFFFFF"/>
              <w:bottom w:val="single" w:sz="6" w:space="0" w:color="FFFFFF"/>
              <w:right w:val="single" w:sz="18" w:space="0" w:color="FFFFFF"/>
            </w:tcBorders>
            <w:shd w:val="clear" w:color="auto" w:fill="DBE5F1"/>
          </w:tcPr>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17.00 uur </w:t>
            </w:r>
            <w:r w:rsidRPr="001A126B">
              <w:rPr>
                <w:rFonts w:asciiTheme="minorHAnsi" w:hAnsiTheme="minorHAnsi"/>
                <w:noProof/>
                <w:sz w:val="16"/>
                <w:szCs w:val="16"/>
              </w:rPr>
              <w:tab/>
              <w:t xml:space="preserve">Welkom en opening </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b/>
            </w:r>
            <w:r w:rsidRPr="001A126B">
              <w:rPr>
                <w:rFonts w:asciiTheme="minorHAnsi" w:hAnsiTheme="minorHAnsi"/>
                <w:noProof/>
                <w:sz w:val="16"/>
                <w:szCs w:val="16"/>
              </w:rPr>
              <w:tab/>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Presentatie Joke Kragt, welzijnscoach over hoe de kwaliteit van leven van een patiënt met een chronische aandoening ook niet medicamenteus kan worden beïnvloedt.</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17.45 uur</w:t>
            </w:r>
            <w:r w:rsidRPr="001A126B">
              <w:rPr>
                <w:rFonts w:asciiTheme="minorHAnsi" w:hAnsiTheme="minorHAnsi"/>
                <w:noProof/>
                <w:sz w:val="16"/>
                <w:szCs w:val="16"/>
              </w:rPr>
              <w:tab/>
              <w:t xml:space="preserve">Start workshops </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b/>
              <w:t xml:space="preserve">Deelnemers zijn ingedeeld in drie groepen en volgen alle workshops. </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b/>
              <w:t>Workshop 1 Ketenzorg Diabetes – Ellen Wessels</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Aan de hand van casuïstiek wordt de zorgverlening rondom patiënten met Diabetes Mellitus in de ketenzorg op interactieve wijze besproken. </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b/>
              <w:t>Workshop 2 Ketenzorg COPD – Titia Klemmeier</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In deze workshop wordt op interactieve wijze ingegaan op de samenwerking tussen de eerste en tweede lijn bij patiënten met COPD. Hoe bundelen we in de keten onze krachten zodat we met elkaar de kwaliteit van leven bij patiënten met COPD verbeteren? En hoe stemmen we deze zorg zo optimaal mogelijk af op de behoeften van de patiënt?</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b/>
              <w:t>Workshop 3 Ketenzorg Atriumfibrilleren – Ineke Baas</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Er een verschuiving plaatsgevonden van de zorg in de tweede en derde lijn naar de eerste lijn voor de stabiel ingestelde patiënt met atriumfibrilleren. Maar hoe werkt dit in de praktijk? Aan welke criteria moet voldaan worden om de patiënt terug te verwijzen?  Welke kennis rondom atriumfibrilleren is nodig om deze zorg vorm te kunnen geven? Aan de hand van casuïstiek en theorie zal dit besproken worden.</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18.15 uur </w:t>
            </w:r>
            <w:r w:rsidRPr="001A126B">
              <w:rPr>
                <w:rFonts w:asciiTheme="minorHAnsi" w:hAnsiTheme="minorHAnsi"/>
                <w:noProof/>
                <w:sz w:val="16"/>
                <w:szCs w:val="16"/>
              </w:rPr>
              <w:tab/>
              <w:t>Pauze</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19.00 uur </w:t>
            </w:r>
            <w:r w:rsidRPr="001A126B">
              <w:rPr>
                <w:rFonts w:asciiTheme="minorHAnsi" w:hAnsiTheme="minorHAnsi"/>
                <w:noProof/>
                <w:sz w:val="16"/>
                <w:szCs w:val="16"/>
              </w:rPr>
              <w:tab/>
              <w:t>Vervolg workshops</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20.00 uur   Presentatie Sander de Hosson, longarts, over de terugverwijzing in de zorgketen van de ernstige</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                    zieke patiënt met een chronische ziekte als COPD en de palliatieve zorg bij deze patiënten. </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20.30 uur </w:t>
            </w:r>
            <w:r w:rsidRPr="001A126B">
              <w:rPr>
                <w:rFonts w:asciiTheme="minorHAnsi" w:hAnsiTheme="minorHAnsi"/>
                <w:noProof/>
                <w:sz w:val="16"/>
                <w:szCs w:val="16"/>
              </w:rPr>
              <w:tab/>
              <w:t>Afsluiting van het symposium</w:t>
            </w:r>
          </w:p>
        </w:tc>
      </w:tr>
      <w:tr w:rsidR="001A126B" w:rsidRPr="001A126B" w:rsidTr="001A126B">
        <w:trPr>
          <w:trHeight w:val="466"/>
        </w:trPr>
        <w:tc>
          <w:tcPr>
            <w:tcW w:w="3140" w:type="dxa"/>
            <w:tcBorders>
              <w:top w:val="single" w:sz="6" w:space="0" w:color="FFFFFF"/>
              <w:left w:val="single" w:sz="18" w:space="0" w:color="FFFFFF"/>
              <w:bottom w:val="single" w:sz="18" w:space="0" w:color="FFFFFF"/>
              <w:right w:val="single" w:sz="6" w:space="0" w:color="FFFFFF"/>
            </w:tcBorders>
            <w:shd w:val="clear" w:color="auto" w:fill="C6D9F1"/>
          </w:tcPr>
          <w:p w:rsidR="001A126B" w:rsidRPr="001A126B" w:rsidRDefault="001A126B" w:rsidP="00284461">
            <w:pPr>
              <w:spacing w:before="60"/>
              <w:rPr>
                <w:rFonts w:asciiTheme="minorHAnsi" w:hAnsiTheme="minorHAnsi"/>
                <w:sz w:val="16"/>
                <w:szCs w:val="16"/>
              </w:rPr>
            </w:pPr>
            <w:r w:rsidRPr="001A126B">
              <w:rPr>
                <w:rFonts w:asciiTheme="minorHAnsi" w:hAnsiTheme="minorHAnsi"/>
                <w:sz w:val="16"/>
                <w:szCs w:val="16"/>
              </w:rPr>
              <w:lastRenderedPageBreak/>
              <w:t>Globale inhoud:</w:t>
            </w:r>
          </w:p>
        </w:tc>
        <w:tc>
          <w:tcPr>
            <w:tcW w:w="10828" w:type="dxa"/>
            <w:tcBorders>
              <w:top w:val="single" w:sz="6" w:space="0" w:color="FFFFFF"/>
              <w:left w:val="single" w:sz="6" w:space="0" w:color="FFFFFF"/>
              <w:bottom w:val="single" w:sz="18" w:space="0" w:color="FFFFFF"/>
              <w:right w:val="single" w:sz="18" w:space="0" w:color="FFFFFF"/>
            </w:tcBorders>
            <w:shd w:val="clear" w:color="auto" w:fill="DBE5F1"/>
          </w:tcPr>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 xml:space="preserve">In drie praktische workshops, wordt op interactieve wijze de zorg rondom diabetes, COPD en atriumfibrilleren en hoe deze vorm krijgt in de ketenzorg besproken. </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Daarnaast zijn twee inspirerende sprekers uitgenodigd.</w:t>
            </w: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Allereerst zal Joke Kragt, welzijnscoach, bespreken in hoeverre je de kwaliteit van leven van een chronische ziekte ook niet medicamenteus kunt beïnvloeden.</w:t>
            </w:r>
          </w:p>
          <w:p w:rsidR="001A126B" w:rsidRPr="001A126B" w:rsidRDefault="001A126B" w:rsidP="001A126B">
            <w:pPr>
              <w:spacing w:before="60" w:after="60"/>
              <w:rPr>
                <w:rFonts w:asciiTheme="minorHAnsi" w:hAnsiTheme="minorHAnsi"/>
                <w:noProof/>
                <w:sz w:val="16"/>
                <w:szCs w:val="16"/>
              </w:rPr>
            </w:pPr>
          </w:p>
          <w:p w:rsidR="001A126B" w:rsidRPr="001A126B" w:rsidRDefault="001A126B" w:rsidP="001A126B">
            <w:pPr>
              <w:spacing w:before="60" w:after="60"/>
              <w:rPr>
                <w:rFonts w:asciiTheme="minorHAnsi" w:hAnsiTheme="minorHAnsi"/>
                <w:noProof/>
                <w:sz w:val="16"/>
                <w:szCs w:val="16"/>
              </w:rPr>
            </w:pPr>
            <w:r w:rsidRPr="001A126B">
              <w:rPr>
                <w:rFonts w:asciiTheme="minorHAnsi" w:hAnsiTheme="minorHAnsi"/>
                <w:noProof/>
                <w:sz w:val="16"/>
                <w:szCs w:val="16"/>
              </w:rPr>
              <w:t>Tot slot zal longarts Sander de Hosson de wereld van de chronische zieke belichten, vanuit zijn perspectief als arts.</w:t>
            </w:r>
          </w:p>
        </w:tc>
      </w:tr>
    </w:tbl>
    <w:p w:rsidR="001B22B3" w:rsidRPr="001A126B" w:rsidRDefault="001B22B3">
      <w:pPr>
        <w:rPr>
          <w:rFonts w:asciiTheme="minorHAnsi" w:hAnsiTheme="minorHAnsi"/>
          <w:sz w:val="16"/>
          <w:szCs w:val="16"/>
        </w:rPr>
      </w:pPr>
      <w:bookmarkStart w:id="0" w:name="_GoBack"/>
      <w:bookmarkEnd w:id="0"/>
    </w:p>
    <w:sectPr w:rsidR="001B22B3" w:rsidRPr="001A126B" w:rsidSect="001A12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CC9"/>
    <w:multiLevelType w:val="hybridMultilevel"/>
    <w:tmpl w:val="ABC2C8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C6A42A1"/>
    <w:multiLevelType w:val="hybridMultilevel"/>
    <w:tmpl w:val="66541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6B"/>
    <w:rsid w:val="001A126B"/>
    <w:rsid w:val="001B2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26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126B"/>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26B"/>
    <w:rPr>
      <w:rFonts w:ascii="Tahoma" w:eastAsia="Times New Roman" w:hAnsi="Tahoma" w:cs="Tahoma"/>
      <w:sz w:val="16"/>
      <w:szCs w:val="16"/>
      <w:lang w:eastAsia="nl-NL"/>
    </w:rPr>
  </w:style>
  <w:style w:type="paragraph" w:styleId="Lijstalinea">
    <w:name w:val="List Paragraph"/>
    <w:basedOn w:val="Standaard"/>
    <w:uiPriority w:val="34"/>
    <w:qFormat/>
    <w:rsid w:val="001A126B"/>
    <w:pPr>
      <w:ind w:left="720"/>
      <w:contextualSpacing/>
    </w:pPr>
  </w:style>
  <w:style w:type="paragraph" w:styleId="Tekstzonderopmaak">
    <w:name w:val="Plain Text"/>
    <w:basedOn w:val="Standaard"/>
    <w:link w:val="TekstzonderopmaakChar"/>
    <w:uiPriority w:val="99"/>
    <w:unhideWhenUsed/>
    <w:rsid w:val="001A126B"/>
    <w:rPr>
      <w:rFonts w:ascii="Calibri" w:eastAsia="Calibr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A126B"/>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26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126B"/>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26B"/>
    <w:rPr>
      <w:rFonts w:ascii="Tahoma" w:eastAsia="Times New Roman" w:hAnsi="Tahoma" w:cs="Tahoma"/>
      <w:sz w:val="16"/>
      <w:szCs w:val="16"/>
      <w:lang w:eastAsia="nl-NL"/>
    </w:rPr>
  </w:style>
  <w:style w:type="paragraph" w:styleId="Lijstalinea">
    <w:name w:val="List Paragraph"/>
    <w:basedOn w:val="Standaard"/>
    <w:uiPriority w:val="34"/>
    <w:qFormat/>
    <w:rsid w:val="001A126B"/>
    <w:pPr>
      <w:ind w:left="720"/>
      <w:contextualSpacing/>
    </w:pPr>
  </w:style>
  <w:style w:type="paragraph" w:styleId="Tekstzonderopmaak">
    <w:name w:val="Plain Text"/>
    <w:basedOn w:val="Standaard"/>
    <w:link w:val="TekstzonderopmaakChar"/>
    <w:uiPriority w:val="99"/>
    <w:unhideWhenUsed/>
    <w:rsid w:val="001A126B"/>
    <w:rPr>
      <w:rFonts w:ascii="Calibri" w:eastAsia="Calibr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1A126B"/>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D5AF5419</Template>
  <TotalTime>5</TotalTime>
  <Pages>2</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Herder - Euwema, Marjanke</dc:creator>
  <cp:lastModifiedBy>Herder - Euwema, Marjanke</cp:lastModifiedBy>
  <cp:revision>1</cp:revision>
  <dcterms:created xsi:type="dcterms:W3CDTF">2019-09-05T13:52:00Z</dcterms:created>
  <dcterms:modified xsi:type="dcterms:W3CDTF">2019-09-05T13:59:00Z</dcterms:modified>
</cp:coreProperties>
</file>